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0AEE1" w14:textId="4635D4EB" w:rsidR="001E71DA" w:rsidRPr="002C3263" w:rsidRDefault="002C3263" w:rsidP="002C3263">
      <w:pPr>
        <w:pStyle w:val="Title"/>
        <w:rPr>
          <w:sz w:val="40"/>
          <w:szCs w:val="40"/>
        </w:rPr>
      </w:pPr>
      <w:r w:rsidRPr="002C3263">
        <w:rPr>
          <w:sz w:val="40"/>
          <w:szCs w:val="40"/>
        </w:rPr>
        <w:t>Enhancing osteoarthritis care for patients with osteoarthritis</w:t>
      </w:r>
    </w:p>
    <w:p w14:paraId="329CAD67" w14:textId="67A87913" w:rsidR="005A0823" w:rsidRDefault="002C3263" w:rsidP="00E07480">
      <w:pPr>
        <w:pStyle w:val="Subtitle"/>
      </w:pPr>
      <w:r>
        <w:t>Workshop for Community Physiotherapists and First Contact Practitioners</w:t>
      </w:r>
    </w:p>
    <w:p w14:paraId="2282D491" w14:textId="4C1BE3F2" w:rsidR="005A0823" w:rsidRDefault="005A0823" w:rsidP="005A0823">
      <w:pPr>
        <w:pStyle w:val="Heading1"/>
      </w:pPr>
      <w:r>
        <w:t>Introduction</w:t>
      </w:r>
    </w:p>
    <w:p w14:paraId="65049D5E" w14:textId="5761F9A4" w:rsidR="005A0823" w:rsidRDefault="005A0823" w:rsidP="005A0823">
      <w:r>
        <w:t xml:space="preserve">This workshop has been designed and tested by the Impact Accelerator Unit of </w:t>
      </w:r>
      <w:proofErr w:type="spellStart"/>
      <w:r>
        <w:t>Keele</w:t>
      </w:r>
      <w:proofErr w:type="spellEnd"/>
      <w:r>
        <w:t xml:space="preserve"> University School of Primary, Community and Social Care and is part of the JIGSAW initiative to enhance management of osteoarthritis. Full details of the project and the research base, together with additional resources, are available on the </w:t>
      </w:r>
      <w:hyperlink r:id="rId5" w:history="1">
        <w:r w:rsidRPr="005A0823">
          <w:rPr>
            <w:rStyle w:val="Hyperlink"/>
          </w:rPr>
          <w:t>JIGSAW-E website</w:t>
        </w:r>
      </w:hyperlink>
      <w:r>
        <w:t>.</w:t>
      </w:r>
    </w:p>
    <w:p w14:paraId="64B2F885" w14:textId="7734761A" w:rsidR="005A0823" w:rsidRDefault="005A0823" w:rsidP="005A0823">
      <w:r>
        <w:t>The workshop materials consist of this programme, some PowerPoint slides with speakers’ notes and some vignettes to use in one of the workshop tasks. The workshop can be delivered by local clinical champions to groups of colleagues and is appropriate to multi-disciplinary groups of health professionals, including therapists, nurses and doctors.</w:t>
      </w:r>
    </w:p>
    <w:p w14:paraId="32A3ACA5" w14:textId="261AA7EA" w:rsidR="005A0823" w:rsidRPr="005A0823" w:rsidRDefault="005A0823" w:rsidP="005A0823">
      <w:r>
        <w:t xml:space="preserve">Also, on the website, you can find a complementary online </w:t>
      </w:r>
      <w:r w:rsidR="00E07480">
        <w:t>version aimed at first contact physiotherapists for individual study.</w:t>
      </w:r>
    </w:p>
    <w:p w14:paraId="2B8B2FB1" w14:textId="1CBE009A" w:rsidR="002C3263" w:rsidRDefault="002C3263" w:rsidP="002C3263">
      <w:pPr>
        <w:pStyle w:val="Heading1"/>
      </w:pPr>
      <w:r>
        <w:t>Timing</w:t>
      </w:r>
    </w:p>
    <w:p w14:paraId="4029E731" w14:textId="1559702B" w:rsidR="0031737F" w:rsidRPr="0031737F" w:rsidRDefault="0031737F" w:rsidP="0031737F">
      <w:r>
        <w:t>½ Day workshop (3 hours) in protected learning time</w:t>
      </w:r>
    </w:p>
    <w:p w14:paraId="4B7E8C96" w14:textId="2330D566" w:rsidR="002C3263" w:rsidRDefault="002C3263" w:rsidP="002C3263">
      <w:pPr>
        <w:pStyle w:val="Heading1"/>
      </w:pPr>
      <w:r>
        <w:t>Aims</w:t>
      </w:r>
    </w:p>
    <w:p w14:paraId="2377713D" w14:textId="6F93900E" w:rsidR="0031737F" w:rsidRPr="0031737F" w:rsidRDefault="0031737F" w:rsidP="0031737F">
      <w:r>
        <w:t>To explore and promote a holistic approach to joint pain, emphasising supported self-management and implementation of NICE guidelines for OA</w:t>
      </w:r>
    </w:p>
    <w:p w14:paraId="7AEEFD0C" w14:textId="0B0A5A3B" w:rsidR="002C3263" w:rsidRDefault="002C3263" w:rsidP="002C3263">
      <w:pPr>
        <w:pStyle w:val="Heading1"/>
      </w:pPr>
      <w:r>
        <w:t>Intended learning outcomes</w:t>
      </w:r>
    </w:p>
    <w:p w14:paraId="273447B3" w14:textId="42B2AEC4" w:rsidR="0031737F" w:rsidRDefault="0031737F" w:rsidP="0031737F">
      <w:r>
        <w:t>As a result of this workshop, participants should be better equipped and more confident to:</w:t>
      </w:r>
    </w:p>
    <w:p w14:paraId="5BE776AF" w14:textId="00C5F011" w:rsidR="0031737F" w:rsidRDefault="0031737F" w:rsidP="0031737F">
      <w:pPr>
        <w:pStyle w:val="ListParagraph"/>
        <w:numPr>
          <w:ilvl w:val="0"/>
          <w:numId w:val="1"/>
        </w:numPr>
      </w:pPr>
      <w:r>
        <w:t>Diagnose or support the diagnosis of OA where appropriate</w:t>
      </w:r>
    </w:p>
    <w:p w14:paraId="44975C18" w14:textId="040D62CD" w:rsidR="0031737F" w:rsidRDefault="00EA245E" w:rsidP="0031737F">
      <w:pPr>
        <w:pStyle w:val="ListParagraph"/>
        <w:numPr>
          <w:ilvl w:val="0"/>
          <w:numId w:val="1"/>
        </w:numPr>
      </w:pPr>
      <w:r>
        <w:t xml:space="preserve">Explore the impact of OA on patients’ lives </w:t>
      </w:r>
    </w:p>
    <w:p w14:paraId="109406B3" w14:textId="07F9E59B" w:rsidR="00EA245E" w:rsidRDefault="00EA245E" w:rsidP="0031737F">
      <w:pPr>
        <w:pStyle w:val="ListParagraph"/>
        <w:numPr>
          <w:ilvl w:val="0"/>
          <w:numId w:val="1"/>
        </w:numPr>
      </w:pPr>
      <w:r>
        <w:t>Give appropriate explanations and advice, incorporating patients’ health beliefs</w:t>
      </w:r>
    </w:p>
    <w:p w14:paraId="18EA0D8E" w14:textId="27505C5E" w:rsidR="00E25DD4" w:rsidRDefault="00E25DD4" w:rsidP="0031737F">
      <w:pPr>
        <w:pStyle w:val="ListParagraph"/>
        <w:numPr>
          <w:ilvl w:val="0"/>
          <w:numId w:val="1"/>
        </w:numPr>
      </w:pPr>
      <w:r>
        <w:t>Give realistic and optimistic messages about natural history, prognosis and treatment options</w:t>
      </w:r>
    </w:p>
    <w:p w14:paraId="7E8DE6E6" w14:textId="4FD54A3A" w:rsidR="00EA245E" w:rsidRDefault="00EA245E" w:rsidP="0031737F">
      <w:pPr>
        <w:pStyle w:val="ListParagraph"/>
        <w:numPr>
          <w:ilvl w:val="0"/>
          <w:numId w:val="1"/>
        </w:numPr>
      </w:pPr>
      <w:r>
        <w:t>Apply NICE OA guidelines</w:t>
      </w:r>
    </w:p>
    <w:p w14:paraId="448D7F44" w14:textId="152BF647" w:rsidR="00EA245E" w:rsidRDefault="00E25DD4" w:rsidP="0031737F">
      <w:pPr>
        <w:pStyle w:val="ListParagraph"/>
        <w:numPr>
          <w:ilvl w:val="0"/>
          <w:numId w:val="1"/>
        </w:numPr>
      </w:pPr>
      <w:r>
        <w:t>Incorporate personal preferences, motivation and pacing into exercise programmes</w:t>
      </w:r>
    </w:p>
    <w:p w14:paraId="5293B7AA" w14:textId="3AE08A9C" w:rsidR="00E25DD4" w:rsidRDefault="00E25DD4" w:rsidP="0031737F">
      <w:pPr>
        <w:pStyle w:val="ListParagraph"/>
        <w:numPr>
          <w:ilvl w:val="0"/>
          <w:numId w:val="1"/>
        </w:numPr>
      </w:pPr>
      <w:r>
        <w:t>Raise issues of weight management where appropriate</w:t>
      </w:r>
    </w:p>
    <w:p w14:paraId="53324E6C" w14:textId="2B540664" w:rsidR="00E25DD4" w:rsidRPr="0031737F" w:rsidRDefault="00E25DD4" w:rsidP="0031737F">
      <w:pPr>
        <w:pStyle w:val="ListParagraph"/>
        <w:numPr>
          <w:ilvl w:val="0"/>
          <w:numId w:val="1"/>
        </w:numPr>
      </w:pPr>
      <w:r>
        <w:t>Respond to questions about medication usage and advise on analgesic use in relation to exercise</w:t>
      </w:r>
    </w:p>
    <w:p w14:paraId="50C4AF16" w14:textId="5ABF170A" w:rsidR="0044382F" w:rsidRDefault="0044382F" w:rsidP="0044382F">
      <w:pPr>
        <w:pStyle w:val="Heading1"/>
      </w:pPr>
      <w:r>
        <w:t>Topics</w:t>
      </w:r>
    </w:p>
    <w:p w14:paraId="6FE3C780" w14:textId="69B4CD12" w:rsidR="0044382F" w:rsidRDefault="0044382F" w:rsidP="0044382F">
      <w:r>
        <w:t>Background – MOSAICS, NICE guidelines, JIGSAW implementation</w:t>
      </w:r>
    </w:p>
    <w:p w14:paraId="582C0D3F" w14:textId="1A060E4F" w:rsidR="0044382F" w:rsidRDefault="0044382F" w:rsidP="0044382F">
      <w:r>
        <w:t>Impact on individuals</w:t>
      </w:r>
    </w:p>
    <w:p w14:paraId="755FA664" w14:textId="405331FB" w:rsidR="0044382F" w:rsidRDefault="0044382F" w:rsidP="0044382F">
      <w:r>
        <w:t>Impact on society and healthcare systems</w:t>
      </w:r>
    </w:p>
    <w:p w14:paraId="74C27072" w14:textId="52B134BD" w:rsidR="0044382F" w:rsidRDefault="0044382F" w:rsidP="0044382F">
      <w:r>
        <w:t>Clinical diagnosis</w:t>
      </w:r>
    </w:p>
    <w:p w14:paraId="7341063B" w14:textId="502B6CE1" w:rsidR="0044382F" w:rsidRDefault="0044382F" w:rsidP="0044382F">
      <w:r>
        <w:t>Explanations</w:t>
      </w:r>
    </w:p>
    <w:p w14:paraId="7D60128E" w14:textId="4539B4AB" w:rsidR="00085D62" w:rsidRDefault="0044382F" w:rsidP="00E07480">
      <w:r>
        <w:t>Core treatments</w:t>
      </w:r>
      <w:r w:rsidR="00085D62">
        <w:br w:type="page"/>
      </w:r>
    </w:p>
    <w:p w14:paraId="0AE77DC6" w14:textId="77777777" w:rsidR="0044382F" w:rsidRPr="0044382F" w:rsidRDefault="0044382F" w:rsidP="0044382F">
      <w:bookmarkStart w:id="0" w:name="_GoBack"/>
      <w:bookmarkEnd w:id="0"/>
    </w:p>
    <w:p w14:paraId="37B84D1E" w14:textId="78744CDD" w:rsidR="002C3263" w:rsidRDefault="002C3263" w:rsidP="002C3263">
      <w:pPr>
        <w:pStyle w:val="Heading1"/>
      </w:pPr>
      <w:r>
        <w:t>Outline programme</w:t>
      </w:r>
    </w:p>
    <w:p w14:paraId="20B5BDDD" w14:textId="77777777" w:rsidR="00085D62" w:rsidRPr="00085D62" w:rsidRDefault="00085D62" w:rsidP="00085D62"/>
    <w:tbl>
      <w:tblPr>
        <w:tblStyle w:val="TableGrid"/>
        <w:tblW w:w="0" w:type="auto"/>
        <w:tblLook w:val="04A0" w:firstRow="1" w:lastRow="0" w:firstColumn="1" w:lastColumn="0" w:noHBand="0" w:noVBand="1"/>
      </w:tblPr>
      <w:tblGrid>
        <w:gridCol w:w="1696"/>
        <w:gridCol w:w="3119"/>
        <w:gridCol w:w="4195"/>
      </w:tblGrid>
      <w:tr w:rsidR="00085D62" w14:paraId="33DDDCF7" w14:textId="77777777" w:rsidTr="00E12032">
        <w:tc>
          <w:tcPr>
            <w:tcW w:w="1696" w:type="dxa"/>
          </w:tcPr>
          <w:p w14:paraId="06E54667" w14:textId="77777777" w:rsidR="00085D62" w:rsidRPr="00D27ECD" w:rsidRDefault="00085D62" w:rsidP="00E12032">
            <w:pPr>
              <w:jc w:val="center"/>
              <w:rPr>
                <w:b/>
                <w:bCs/>
              </w:rPr>
            </w:pPr>
            <w:r w:rsidRPr="00D27ECD">
              <w:rPr>
                <w:b/>
                <w:bCs/>
              </w:rPr>
              <w:t>Time</w:t>
            </w:r>
          </w:p>
        </w:tc>
        <w:tc>
          <w:tcPr>
            <w:tcW w:w="3119" w:type="dxa"/>
          </w:tcPr>
          <w:p w14:paraId="24CAA1D4" w14:textId="77777777" w:rsidR="00085D62" w:rsidRPr="00D27ECD" w:rsidRDefault="00085D62" w:rsidP="00E12032">
            <w:pPr>
              <w:jc w:val="center"/>
              <w:rPr>
                <w:b/>
                <w:bCs/>
              </w:rPr>
            </w:pPr>
            <w:r w:rsidRPr="00D27ECD">
              <w:rPr>
                <w:b/>
                <w:bCs/>
              </w:rPr>
              <w:t>Topic</w:t>
            </w:r>
          </w:p>
        </w:tc>
        <w:tc>
          <w:tcPr>
            <w:tcW w:w="4195" w:type="dxa"/>
          </w:tcPr>
          <w:p w14:paraId="0CAF15A4" w14:textId="77777777" w:rsidR="00085D62" w:rsidRPr="00D27ECD" w:rsidRDefault="00085D62" w:rsidP="00E12032">
            <w:pPr>
              <w:jc w:val="center"/>
              <w:rPr>
                <w:b/>
                <w:bCs/>
              </w:rPr>
            </w:pPr>
            <w:r w:rsidRPr="00D27ECD">
              <w:rPr>
                <w:b/>
                <w:bCs/>
              </w:rPr>
              <w:t>Content/methods</w:t>
            </w:r>
          </w:p>
        </w:tc>
      </w:tr>
      <w:tr w:rsidR="00085D62" w14:paraId="449FE184" w14:textId="77777777" w:rsidTr="00E12032">
        <w:tc>
          <w:tcPr>
            <w:tcW w:w="1696" w:type="dxa"/>
          </w:tcPr>
          <w:p w14:paraId="6172C5E5" w14:textId="77777777" w:rsidR="00085D62" w:rsidRDefault="00085D62" w:rsidP="00E12032">
            <w:pPr>
              <w:jc w:val="left"/>
            </w:pPr>
            <w:r>
              <w:t>10 min</w:t>
            </w:r>
          </w:p>
        </w:tc>
        <w:tc>
          <w:tcPr>
            <w:tcW w:w="3119" w:type="dxa"/>
          </w:tcPr>
          <w:p w14:paraId="0B1EDE0D" w14:textId="77777777" w:rsidR="00085D62" w:rsidRDefault="00085D62" w:rsidP="00E12032">
            <w:pPr>
              <w:jc w:val="left"/>
            </w:pPr>
            <w:r>
              <w:t>Introductions</w:t>
            </w:r>
          </w:p>
        </w:tc>
        <w:tc>
          <w:tcPr>
            <w:tcW w:w="4195" w:type="dxa"/>
          </w:tcPr>
          <w:p w14:paraId="3A3955DD" w14:textId="77777777" w:rsidR="00085D62" w:rsidRDefault="00085D62" w:rsidP="00E12032">
            <w:pPr>
              <w:jc w:val="left"/>
            </w:pPr>
          </w:p>
        </w:tc>
      </w:tr>
      <w:tr w:rsidR="00085D62" w14:paraId="66902D8A" w14:textId="77777777" w:rsidTr="00E12032">
        <w:tc>
          <w:tcPr>
            <w:tcW w:w="1696" w:type="dxa"/>
          </w:tcPr>
          <w:p w14:paraId="449B63D0" w14:textId="77777777" w:rsidR="00085D62" w:rsidRDefault="00085D62" w:rsidP="00E12032">
            <w:pPr>
              <w:jc w:val="left"/>
            </w:pPr>
            <w:r>
              <w:t>15 min</w:t>
            </w:r>
          </w:p>
        </w:tc>
        <w:tc>
          <w:tcPr>
            <w:tcW w:w="3119" w:type="dxa"/>
          </w:tcPr>
          <w:p w14:paraId="1850FAC1" w14:textId="77777777" w:rsidR="00085D62" w:rsidRDefault="00085D62" w:rsidP="00E12032">
            <w:pPr>
              <w:jc w:val="left"/>
            </w:pPr>
            <w:r>
              <w:t>Impact of joint pain</w:t>
            </w:r>
          </w:p>
        </w:tc>
        <w:tc>
          <w:tcPr>
            <w:tcW w:w="4195" w:type="dxa"/>
          </w:tcPr>
          <w:p w14:paraId="75B08FEF" w14:textId="77777777" w:rsidR="00085D62" w:rsidRDefault="00085D62" w:rsidP="00E12032">
            <w:pPr>
              <w:jc w:val="left"/>
            </w:pPr>
            <w:r>
              <w:t>Small groups pairs</w:t>
            </w:r>
          </w:p>
          <w:p w14:paraId="118EAB27" w14:textId="77777777" w:rsidR="00085D62" w:rsidRDefault="00085D62" w:rsidP="00E12032">
            <w:pPr>
              <w:jc w:val="left"/>
            </w:pPr>
            <w:r>
              <w:t>Pairs to discuss a person each knows and impact on his/her life</w:t>
            </w:r>
          </w:p>
          <w:p w14:paraId="2948BD3A" w14:textId="77777777" w:rsidR="00085D62" w:rsidRDefault="00085D62" w:rsidP="00E12032">
            <w:pPr>
              <w:jc w:val="left"/>
            </w:pPr>
            <w:r>
              <w:t>Share general points with group</w:t>
            </w:r>
          </w:p>
        </w:tc>
      </w:tr>
      <w:tr w:rsidR="00085D62" w14:paraId="1E67C88A" w14:textId="77777777" w:rsidTr="00E12032">
        <w:tc>
          <w:tcPr>
            <w:tcW w:w="1696" w:type="dxa"/>
          </w:tcPr>
          <w:p w14:paraId="442FEE4F" w14:textId="77777777" w:rsidR="00085D62" w:rsidRDefault="00085D62" w:rsidP="00E12032">
            <w:pPr>
              <w:jc w:val="left"/>
            </w:pPr>
            <w:r>
              <w:t>30 min</w:t>
            </w:r>
          </w:p>
        </w:tc>
        <w:tc>
          <w:tcPr>
            <w:tcW w:w="3119" w:type="dxa"/>
          </w:tcPr>
          <w:p w14:paraId="7DD62B1B" w14:textId="77777777" w:rsidR="00085D62" w:rsidRDefault="00085D62" w:rsidP="00E12032">
            <w:pPr>
              <w:jc w:val="left"/>
            </w:pPr>
            <w:r>
              <w:t>What is osteoarthritis?</w:t>
            </w:r>
          </w:p>
        </w:tc>
        <w:tc>
          <w:tcPr>
            <w:tcW w:w="4195" w:type="dxa"/>
          </w:tcPr>
          <w:p w14:paraId="1C40A5EB" w14:textId="77777777" w:rsidR="00085D62" w:rsidRDefault="00085D62" w:rsidP="00E12032">
            <w:pPr>
              <w:jc w:val="left"/>
            </w:pPr>
            <w:r>
              <w:t>Groups/trios to share own concepts</w:t>
            </w:r>
          </w:p>
          <w:p w14:paraId="7729ECA1" w14:textId="77777777" w:rsidR="00085D62" w:rsidRDefault="00085D62" w:rsidP="00E12032">
            <w:pPr>
              <w:jc w:val="left"/>
            </w:pPr>
            <w:r>
              <w:t>Plenary: concepts, NICE working diagnosis. Patient story/ICE. Exclude other diagnoses</w:t>
            </w:r>
          </w:p>
        </w:tc>
      </w:tr>
      <w:tr w:rsidR="00085D62" w14:paraId="53210459" w14:textId="77777777" w:rsidTr="00E12032">
        <w:tc>
          <w:tcPr>
            <w:tcW w:w="1696" w:type="dxa"/>
          </w:tcPr>
          <w:p w14:paraId="0E8506EA" w14:textId="77777777" w:rsidR="00085D62" w:rsidRDefault="00085D62" w:rsidP="00E12032">
            <w:pPr>
              <w:jc w:val="left"/>
            </w:pPr>
            <w:r>
              <w:t>15 min</w:t>
            </w:r>
          </w:p>
        </w:tc>
        <w:tc>
          <w:tcPr>
            <w:tcW w:w="3119" w:type="dxa"/>
          </w:tcPr>
          <w:p w14:paraId="2066FC00" w14:textId="77777777" w:rsidR="00085D62" w:rsidRDefault="00085D62" w:rsidP="00E12032">
            <w:pPr>
              <w:jc w:val="left"/>
            </w:pPr>
            <w:r>
              <w:t>Natural history and population impact of OA</w:t>
            </w:r>
          </w:p>
        </w:tc>
        <w:tc>
          <w:tcPr>
            <w:tcW w:w="4195" w:type="dxa"/>
          </w:tcPr>
          <w:p w14:paraId="29DE604C" w14:textId="77777777" w:rsidR="00085D62" w:rsidRDefault="00085D62" w:rsidP="00E12032">
            <w:pPr>
              <w:jc w:val="left"/>
            </w:pPr>
            <w:r>
              <w:t>Plenary</w:t>
            </w:r>
          </w:p>
        </w:tc>
      </w:tr>
      <w:tr w:rsidR="00085D62" w14:paraId="00DA4EA1" w14:textId="77777777" w:rsidTr="00E12032">
        <w:tc>
          <w:tcPr>
            <w:tcW w:w="1696" w:type="dxa"/>
          </w:tcPr>
          <w:p w14:paraId="34B0A1C6" w14:textId="77777777" w:rsidR="00085D62" w:rsidRDefault="00085D62" w:rsidP="00E12032">
            <w:pPr>
              <w:jc w:val="left"/>
            </w:pPr>
            <w:r>
              <w:t>45 min</w:t>
            </w:r>
          </w:p>
        </w:tc>
        <w:tc>
          <w:tcPr>
            <w:tcW w:w="3119" w:type="dxa"/>
          </w:tcPr>
          <w:p w14:paraId="773B01CB" w14:textId="77777777" w:rsidR="00085D62" w:rsidRDefault="00085D62" w:rsidP="00E12032">
            <w:pPr>
              <w:jc w:val="left"/>
            </w:pPr>
            <w:r>
              <w:t>Explaining OA</w:t>
            </w:r>
          </w:p>
        </w:tc>
        <w:tc>
          <w:tcPr>
            <w:tcW w:w="4195" w:type="dxa"/>
          </w:tcPr>
          <w:p w14:paraId="2DC0B2EC" w14:textId="77777777" w:rsidR="00085D62" w:rsidRDefault="00085D62" w:rsidP="00E12032">
            <w:pPr>
              <w:jc w:val="left"/>
            </w:pPr>
            <w:r>
              <w:t>Plenary: principles of explaining</w:t>
            </w:r>
          </w:p>
          <w:p w14:paraId="549CCA0C" w14:textId="77777777" w:rsidR="00085D62" w:rsidRDefault="00085D62" w:rsidP="00E12032">
            <w:pPr>
              <w:jc w:val="left"/>
            </w:pPr>
            <w:r>
              <w:t>Practice in trios and feedback</w:t>
            </w:r>
          </w:p>
          <w:p w14:paraId="1DFFFEAF" w14:textId="77777777" w:rsidR="00085D62" w:rsidRDefault="00085D62" w:rsidP="00E12032">
            <w:pPr>
              <w:jc w:val="left"/>
            </w:pPr>
            <w:r>
              <w:t>Research findings and suggestions</w:t>
            </w:r>
          </w:p>
        </w:tc>
      </w:tr>
      <w:tr w:rsidR="00085D62" w14:paraId="460F9B64" w14:textId="77777777" w:rsidTr="00E12032">
        <w:tc>
          <w:tcPr>
            <w:tcW w:w="1696" w:type="dxa"/>
          </w:tcPr>
          <w:p w14:paraId="52071BCD" w14:textId="77777777" w:rsidR="00085D62" w:rsidRDefault="00085D62" w:rsidP="00E12032">
            <w:pPr>
              <w:jc w:val="left"/>
            </w:pPr>
            <w:r>
              <w:t>15 min</w:t>
            </w:r>
          </w:p>
        </w:tc>
        <w:tc>
          <w:tcPr>
            <w:tcW w:w="3119" w:type="dxa"/>
          </w:tcPr>
          <w:p w14:paraId="75C272D8" w14:textId="77777777" w:rsidR="00085D62" w:rsidRDefault="00085D62" w:rsidP="00E12032">
            <w:pPr>
              <w:jc w:val="left"/>
            </w:pPr>
            <w:r>
              <w:t>Break</w:t>
            </w:r>
          </w:p>
        </w:tc>
        <w:tc>
          <w:tcPr>
            <w:tcW w:w="4195" w:type="dxa"/>
          </w:tcPr>
          <w:p w14:paraId="3FBCB8F0" w14:textId="77777777" w:rsidR="00085D62" w:rsidRDefault="00085D62" w:rsidP="00E12032">
            <w:pPr>
              <w:jc w:val="left"/>
            </w:pPr>
          </w:p>
        </w:tc>
      </w:tr>
      <w:tr w:rsidR="00085D62" w14:paraId="6B0B0383" w14:textId="77777777" w:rsidTr="00E12032">
        <w:tc>
          <w:tcPr>
            <w:tcW w:w="1696" w:type="dxa"/>
          </w:tcPr>
          <w:p w14:paraId="5FC91AC0" w14:textId="77777777" w:rsidR="00085D62" w:rsidRDefault="00085D62" w:rsidP="00E12032">
            <w:pPr>
              <w:jc w:val="left"/>
            </w:pPr>
            <w:r>
              <w:t>45 min</w:t>
            </w:r>
          </w:p>
        </w:tc>
        <w:tc>
          <w:tcPr>
            <w:tcW w:w="3119" w:type="dxa"/>
          </w:tcPr>
          <w:p w14:paraId="41142645" w14:textId="77777777" w:rsidR="00085D62" w:rsidRDefault="00085D62" w:rsidP="00E12032">
            <w:pPr>
              <w:jc w:val="left"/>
            </w:pPr>
            <w:r>
              <w:t>Helping patients manage their OA</w:t>
            </w:r>
          </w:p>
        </w:tc>
        <w:tc>
          <w:tcPr>
            <w:tcW w:w="4195" w:type="dxa"/>
          </w:tcPr>
          <w:p w14:paraId="3D0CFBD5" w14:textId="77777777" w:rsidR="00085D62" w:rsidRDefault="00085D62" w:rsidP="00E12032">
            <w:pPr>
              <w:jc w:val="left"/>
            </w:pPr>
            <w:r>
              <w:t>Groups: your management goals and how to do it</w:t>
            </w:r>
          </w:p>
          <w:p w14:paraId="36260142" w14:textId="77777777" w:rsidR="00085D62" w:rsidRDefault="00085D62" w:rsidP="00E12032">
            <w:pPr>
              <w:jc w:val="left"/>
            </w:pPr>
            <w:r>
              <w:t xml:space="preserve">Plenary: NICE and evidence </w:t>
            </w:r>
          </w:p>
        </w:tc>
      </w:tr>
      <w:tr w:rsidR="00085D62" w14:paraId="37B01076" w14:textId="77777777" w:rsidTr="00E12032">
        <w:tc>
          <w:tcPr>
            <w:tcW w:w="1696" w:type="dxa"/>
          </w:tcPr>
          <w:p w14:paraId="20929DD2" w14:textId="77777777" w:rsidR="00085D62" w:rsidRDefault="00085D62" w:rsidP="00E12032">
            <w:pPr>
              <w:jc w:val="left"/>
            </w:pPr>
            <w:r>
              <w:t>10 min</w:t>
            </w:r>
          </w:p>
        </w:tc>
        <w:tc>
          <w:tcPr>
            <w:tcW w:w="3119" w:type="dxa"/>
          </w:tcPr>
          <w:p w14:paraId="33BD440D" w14:textId="77777777" w:rsidR="00085D62" w:rsidRDefault="00085D62" w:rsidP="00E12032">
            <w:pPr>
              <w:jc w:val="left"/>
            </w:pPr>
            <w:r>
              <w:t xml:space="preserve">Summary and </w:t>
            </w:r>
            <w:proofErr w:type="gramStart"/>
            <w:r>
              <w:t>take home</w:t>
            </w:r>
            <w:proofErr w:type="gramEnd"/>
            <w:r>
              <w:t xml:space="preserve"> messages</w:t>
            </w:r>
          </w:p>
        </w:tc>
        <w:tc>
          <w:tcPr>
            <w:tcW w:w="4195" w:type="dxa"/>
          </w:tcPr>
          <w:p w14:paraId="7EE87A7D" w14:textId="77777777" w:rsidR="00085D62" w:rsidRDefault="00085D62" w:rsidP="00E12032">
            <w:pPr>
              <w:jc w:val="left"/>
            </w:pPr>
          </w:p>
        </w:tc>
      </w:tr>
    </w:tbl>
    <w:p w14:paraId="5668A095" w14:textId="77777777" w:rsidR="00085D62" w:rsidRPr="00085D62" w:rsidRDefault="00085D62" w:rsidP="00085D62"/>
    <w:p w14:paraId="1C7A8162" w14:textId="563F13AA" w:rsidR="00E25DD4" w:rsidRPr="00E25DD4" w:rsidRDefault="00E25DD4" w:rsidP="00E25DD4">
      <w:pPr>
        <w:rPr>
          <w:color w:val="FF0000"/>
        </w:rPr>
      </w:pPr>
    </w:p>
    <w:sectPr w:rsidR="00E25DD4" w:rsidRPr="00E25DD4" w:rsidSect="00BC3D1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B58E8"/>
    <w:multiLevelType w:val="hybridMultilevel"/>
    <w:tmpl w:val="0AC45D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63"/>
    <w:rsid w:val="00085D62"/>
    <w:rsid w:val="001E71DA"/>
    <w:rsid w:val="002C3263"/>
    <w:rsid w:val="0031737F"/>
    <w:rsid w:val="0044382F"/>
    <w:rsid w:val="005A0823"/>
    <w:rsid w:val="008470C9"/>
    <w:rsid w:val="008F06BC"/>
    <w:rsid w:val="00A86315"/>
    <w:rsid w:val="00BC3D1B"/>
    <w:rsid w:val="00CF1873"/>
    <w:rsid w:val="00DC6324"/>
    <w:rsid w:val="00E07480"/>
    <w:rsid w:val="00E25DD4"/>
    <w:rsid w:val="00EA2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504F3"/>
  <w14:defaultImageDpi w14:val="32767"/>
  <w15:chartTrackingRefBased/>
  <w15:docId w15:val="{E9E826A0-0961-8E45-B551-32695157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382F"/>
    <w:pPr>
      <w:spacing w:line="259" w:lineRule="auto"/>
      <w:jc w:val="both"/>
    </w:pPr>
    <w:rPr>
      <w:rFonts w:ascii="Calibri" w:hAnsi="Calibri" w:cs="Calibri"/>
      <w:color w:val="000000"/>
      <w:szCs w:val="22"/>
      <w:lang w:eastAsia="en-GB"/>
    </w:rPr>
  </w:style>
  <w:style w:type="paragraph" w:styleId="Heading1">
    <w:name w:val="heading 1"/>
    <w:basedOn w:val="Normal"/>
    <w:next w:val="Normal"/>
    <w:link w:val="Heading1Char"/>
    <w:uiPriority w:val="9"/>
    <w:qFormat/>
    <w:rsid w:val="002C32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326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C3263"/>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2C3263"/>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C3263"/>
    <w:rPr>
      <w:rFonts w:eastAsiaTheme="minorEastAsia"/>
      <w:color w:val="5A5A5A" w:themeColor="text1" w:themeTint="A5"/>
      <w:spacing w:val="15"/>
      <w:sz w:val="22"/>
      <w:szCs w:val="22"/>
      <w:lang w:eastAsia="en-GB"/>
    </w:rPr>
  </w:style>
  <w:style w:type="character" w:customStyle="1" w:styleId="Heading1Char">
    <w:name w:val="Heading 1 Char"/>
    <w:basedOn w:val="DefaultParagraphFont"/>
    <w:link w:val="Heading1"/>
    <w:uiPriority w:val="9"/>
    <w:rsid w:val="002C3263"/>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1737F"/>
    <w:pPr>
      <w:ind w:left="720"/>
      <w:contextualSpacing/>
    </w:pPr>
  </w:style>
  <w:style w:type="table" w:styleId="TableGrid">
    <w:name w:val="Table Grid"/>
    <w:basedOn w:val="TableNormal"/>
    <w:uiPriority w:val="39"/>
    <w:rsid w:val="0008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0823"/>
    <w:rPr>
      <w:color w:val="0563C1" w:themeColor="hyperlink"/>
      <w:u w:val="single"/>
    </w:rPr>
  </w:style>
  <w:style w:type="character" w:styleId="UnresolvedMention">
    <w:name w:val="Unresolved Mention"/>
    <w:basedOn w:val="DefaultParagraphFont"/>
    <w:uiPriority w:val="99"/>
    <w:rsid w:val="005A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igsaw-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Cooper</dc:creator>
  <cp:keywords/>
  <dc:description/>
  <cp:lastModifiedBy>Vincent Cooper</cp:lastModifiedBy>
  <cp:revision>5</cp:revision>
  <dcterms:created xsi:type="dcterms:W3CDTF">2019-07-25T11:49:00Z</dcterms:created>
  <dcterms:modified xsi:type="dcterms:W3CDTF">2019-12-18T11:21:00Z</dcterms:modified>
</cp:coreProperties>
</file>